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7" w14:textId="77777777" w:rsidR="00A57F95" w:rsidRDefault="00000000">
      <w:pPr>
        <w:spacing w:after="160" w:line="256" w:lineRule="auto"/>
        <w:jc w:val="right"/>
        <w:rPr>
          <w:rFonts w:ascii="Calibri" w:eastAsia="Calibri" w:hAnsi="Calibri" w:cs="Calibri"/>
          <w:u w:val="single"/>
        </w:rPr>
      </w:pPr>
      <w:r>
        <w:rPr>
          <w:rFonts w:ascii="Calibri" w:eastAsia="Calibri" w:hAnsi="Calibri" w:cs="Calibri"/>
          <w:b/>
          <w:u w:val="single"/>
        </w:rPr>
        <w:t>Basın Bülteni</w:t>
      </w:r>
      <w:r>
        <w:rPr>
          <w:rFonts w:ascii="Calibri" w:eastAsia="Calibri" w:hAnsi="Calibri" w:cs="Calibri"/>
          <w:b/>
          <w:u w:val="single"/>
        </w:rPr>
        <w:tab/>
      </w:r>
      <w:r>
        <w:rPr>
          <w:rFonts w:ascii="Calibri" w:eastAsia="Calibri" w:hAnsi="Calibri" w:cs="Calibri"/>
          <w:u w:val="single"/>
        </w:rPr>
        <w:t xml:space="preserve"> </w:t>
      </w:r>
      <w:r>
        <w:rPr>
          <w:rFonts w:ascii="Calibri" w:eastAsia="Calibri" w:hAnsi="Calibri" w:cs="Calibri"/>
          <w:u w:val="single"/>
        </w:rPr>
        <w:tab/>
        <w:t xml:space="preserve">  </w:t>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t xml:space="preserve"> 17.01.2025</w:t>
      </w:r>
    </w:p>
    <w:p w14:paraId="00000008" w14:textId="77777777" w:rsidR="00A57F95" w:rsidRDefault="00A57F95">
      <w:pPr>
        <w:jc w:val="center"/>
        <w:rPr>
          <w:rFonts w:ascii="Calibri" w:eastAsia="Roboto" w:hAnsi="Calibri" w:cs="Calibri"/>
          <w:bCs/>
          <w:highlight w:val="white"/>
        </w:rPr>
      </w:pPr>
    </w:p>
    <w:p w14:paraId="00000009" w14:textId="77777777" w:rsidR="00A57F95" w:rsidRDefault="00000000">
      <w:pPr>
        <w:spacing w:after="160" w:line="256" w:lineRule="auto"/>
        <w:jc w:val="center"/>
        <w:rPr>
          <w:rFonts w:ascii="Calibri" w:eastAsia="Calibri" w:hAnsi="Calibri" w:cs="Calibri"/>
        </w:rPr>
      </w:pPr>
      <w:r>
        <w:rPr>
          <w:rFonts w:ascii="Calibri" w:eastAsia="Calibri" w:hAnsi="Calibri" w:cs="Calibri"/>
        </w:rPr>
        <w:t>PERYÖN, ‘İŞLERİN GELECEĞİ’Nİ KONUŞTU</w:t>
      </w:r>
    </w:p>
    <w:p w14:paraId="0000000A" w14:textId="77777777" w:rsidR="00A57F95" w:rsidRDefault="00000000">
      <w:pPr>
        <w:bidi/>
        <w:spacing w:after="160" w:line="256" w:lineRule="auto"/>
        <w:jc w:val="center"/>
        <w:rPr>
          <w:rFonts w:ascii="Calibri" w:eastAsia="Calibri" w:hAnsi="Calibri" w:cs="Calibri"/>
          <w:b/>
          <w:bCs/>
          <w:sz w:val="28"/>
          <w:szCs w:val="28"/>
        </w:rPr>
      </w:pPr>
      <w:r>
        <w:rPr>
          <w:rFonts w:ascii="Calibri" w:eastAsia="Calibri" w:hAnsi="Calibri" w:cs="Calibri"/>
          <w:b/>
          <w:bCs/>
          <w:sz w:val="28"/>
          <w:szCs w:val="28"/>
        </w:rPr>
        <w:t xml:space="preserve">’Her iki kurumdan biri </w:t>
      </w:r>
    </w:p>
    <w:p w14:paraId="0000000B" w14:textId="77777777" w:rsidR="00A57F95" w:rsidRDefault="00000000">
      <w:pPr>
        <w:bidi/>
        <w:spacing w:after="160" w:line="256" w:lineRule="auto"/>
        <w:jc w:val="center"/>
        <w:rPr>
          <w:rFonts w:ascii="Calibri" w:eastAsia="Calibri" w:hAnsi="Calibri" w:cs="Calibri"/>
          <w:b/>
          <w:bCs/>
          <w:sz w:val="28"/>
          <w:szCs w:val="28"/>
        </w:rPr>
      </w:pPr>
      <w:r>
        <w:rPr>
          <w:rFonts w:ascii="Calibri" w:eastAsia="Calibri" w:hAnsi="Calibri" w:cs="Calibri"/>
          <w:b/>
          <w:bCs/>
          <w:sz w:val="28"/>
          <w:szCs w:val="28"/>
        </w:rPr>
        <w:t>çalışanların gelişimine yatırım yapmayı planlıyor’</w:t>
      </w:r>
    </w:p>
    <w:p w14:paraId="0000000C" w14:textId="77777777" w:rsidR="00A57F95" w:rsidRDefault="00A57F95">
      <w:pPr>
        <w:jc w:val="center"/>
        <w:rPr>
          <w:rFonts w:ascii="Calibri" w:eastAsia="Roboto" w:hAnsi="Calibri" w:cs="Calibri"/>
          <w:b/>
          <w:highlight w:val="white"/>
        </w:rPr>
      </w:pPr>
    </w:p>
    <w:p w14:paraId="0000000D" w14:textId="77777777" w:rsidR="00A57F95" w:rsidRDefault="00000000">
      <w:pPr>
        <w:spacing w:after="160" w:line="256" w:lineRule="auto"/>
        <w:jc w:val="center"/>
        <w:rPr>
          <w:rFonts w:ascii="Calibri" w:eastAsia="Calibri" w:hAnsi="Calibri" w:cs="Calibri"/>
          <w:b/>
          <w:bCs/>
        </w:rPr>
      </w:pPr>
      <w:r>
        <w:rPr>
          <w:rFonts w:ascii="Calibri" w:eastAsia="Calibri" w:hAnsi="Calibri" w:cs="Calibri"/>
          <w:b/>
          <w:bCs/>
        </w:rPr>
        <w:t>PERYÖN (Türkiye İnsan Yönetimi Derneği), Dünya Ekonomik Forumu’nun küresel işgücünün ve iş dünyasının karşı karşıya olduğu dönüşümleri ele alan ‘2025 İşlerin Geleceği’ raporunu derinlemesine incelediği bir webinar düzenledi. Bloomberg HT Genel Yayın Yönetmeni ve PERYÖN Danışma Kurulu Üyesi Açıl Sezen’in moderatörlüğünü üstlendiği webinarda PERYÖN Yönetim Kurulu Başkanı Ebru Taşcı Firuzbay ve EAPM Başkanı Berna Öztınaz raporu yorumlayarak görüşlerini paylaştılar.</w:t>
      </w:r>
    </w:p>
    <w:p w14:paraId="0000000E" w14:textId="77777777" w:rsidR="00A57F95" w:rsidRDefault="00A57F95">
      <w:pPr>
        <w:spacing w:after="160" w:line="256" w:lineRule="auto"/>
        <w:jc w:val="center"/>
        <w:rPr>
          <w:rFonts w:ascii="Calibri" w:eastAsia="Cambria" w:hAnsi="Calibri" w:cs="Calibri"/>
        </w:rPr>
      </w:pPr>
    </w:p>
    <w:p w14:paraId="0000000F" w14:textId="77777777" w:rsidR="00A57F95" w:rsidRDefault="00000000">
      <w:pPr>
        <w:spacing w:after="160" w:line="256" w:lineRule="auto"/>
        <w:jc w:val="both"/>
        <w:rPr>
          <w:rFonts w:ascii="Calibri" w:eastAsia="Calibri" w:hAnsi="Calibri" w:cs="Calibri"/>
        </w:rPr>
      </w:pPr>
      <w:r>
        <w:rPr>
          <w:rFonts w:ascii="Calibri" w:eastAsia="Cambria" w:hAnsi="Calibri" w:cs="Calibri"/>
        </w:rPr>
        <w:t xml:space="preserve">“Şimdi ve gelecek için daha iyi bir çalışma hayatına liderlik etmek” vizyonuyla 50 yılı aşkın süredir faaliyet gösteren </w:t>
      </w:r>
      <w:r>
        <w:rPr>
          <w:rFonts w:ascii="Calibri" w:eastAsia="Cambria" w:hAnsi="Calibri" w:cs="Calibri"/>
          <w:iCs/>
        </w:rPr>
        <w:t>PERYÖN</w:t>
      </w:r>
      <w:r>
        <w:rPr>
          <w:rFonts w:ascii="Calibri" w:eastAsia="Cambria" w:hAnsi="Calibri" w:cs="Calibri"/>
        </w:rPr>
        <w:t xml:space="preserve"> </w:t>
      </w:r>
      <w:r>
        <w:rPr>
          <w:rFonts w:ascii="Calibri" w:eastAsia="Calibri" w:hAnsi="Calibri" w:cs="Calibri"/>
        </w:rPr>
        <w:t>(Türkiye İnsan Yönetimi Derneği), düzenlediği webinarlar ile çalışma hayatının öncelikli gündemlerini konunun uzmanlarıyla ele almaya devam ediyor.</w:t>
      </w:r>
    </w:p>
    <w:p w14:paraId="00000010" w14:textId="77777777" w:rsidR="00A57F95" w:rsidRDefault="00000000">
      <w:pPr>
        <w:spacing w:after="160" w:line="256" w:lineRule="auto"/>
        <w:jc w:val="both"/>
        <w:rPr>
          <w:rFonts w:ascii="Calibri" w:eastAsia="Calibri" w:hAnsi="Calibri" w:cs="Calibri"/>
        </w:rPr>
      </w:pPr>
      <w:r>
        <w:rPr>
          <w:rFonts w:ascii="Calibri" w:eastAsia="Calibri" w:hAnsi="Calibri" w:cs="Calibri"/>
        </w:rPr>
        <w:t>Dernek son olarak Dünya Ekonomik Forumu’nun küresel işgücünün ve iş dünyasının karşı karşıya olduğu dönüşümleri ele alan ‘2025 İşlerin Geleceği’ raporunun derinlemesine incelendiği bir webinar düzenledi.</w:t>
      </w:r>
    </w:p>
    <w:p w14:paraId="00000011" w14:textId="77777777" w:rsidR="00A57F95" w:rsidRDefault="00000000">
      <w:pPr>
        <w:spacing w:after="160" w:line="256" w:lineRule="auto"/>
        <w:jc w:val="both"/>
        <w:rPr>
          <w:rFonts w:ascii="Calibri" w:eastAsia="Calibri" w:hAnsi="Calibri" w:cs="Calibri"/>
        </w:rPr>
      </w:pPr>
      <w:r>
        <w:rPr>
          <w:rFonts w:ascii="Calibri" w:eastAsia="Calibri" w:hAnsi="Calibri" w:cs="Calibri"/>
          <w:b/>
          <w:bCs/>
        </w:rPr>
        <w:t>Bloomberg HT Genel Yayın Yönetmeni ve PERYÖN Danışma Kurulu Üyesi Açıl Sezen</w:t>
      </w:r>
      <w:r>
        <w:rPr>
          <w:rFonts w:ascii="Calibri" w:eastAsia="Calibri" w:hAnsi="Calibri" w:cs="Calibri"/>
        </w:rPr>
        <w:t xml:space="preserve">’in moderatörlüğünü üstlendiği, Pluxee Türkiye sponsorluğunda düzenlenen webinarda, </w:t>
      </w:r>
      <w:r>
        <w:rPr>
          <w:rFonts w:ascii="Calibri" w:eastAsia="Calibri" w:hAnsi="Calibri" w:cs="Calibri"/>
          <w:b/>
          <w:bCs/>
        </w:rPr>
        <w:t xml:space="preserve">PERYÖN Yönetim Kurulu Başkanı Ebru Taşcı Firuzbay </w:t>
      </w:r>
      <w:r>
        <w:rPr>
          <w:rFonts w:ascii="Calibri" w:eastAsia="Calibri" w:hAnsi="Calibri" w:cs="Calibri"/>
        </w:rPr>
        <w:t xml:space="preserve">ve </w:t>
      </w:r>
      <w:r>
        <w:rPr>
          <w:rFonts w:ascii="Calibri" w:eastAsia="Calibri" w:hAnsi="Calibri" w:cs="Calibri"/>
          <w:b/>
          <w:bCs/>
        </w:rPr>
        <w:t xml:space="preserve">EAPM Başkanı Berna Öztınaz </w:t>
      </w:r>
      <w:r>
        <w:rPr>
          <w:rFonts w:ascii="Calibri" w:eastAsia="Calibri" w:hAnsi="Calibri" w:cs="Calibri"/>
        </w:rPr>
        <w:t>raporu yorumlayarak görüşlerini paylaştılar.</w:t>
      </w:r>
    </w:p>
    <w:p w14:paraId="00000012" w14:textId="77777777" w:rsidR="00A57F95" w:rsidRDefault="00A57F95">
      <w:pPr>
        <w:jc w:val="both"/>
        <w:rPr>
          <w:rFonts w:ascii="Calibri" w:eastAsia="Calibri" w:hAnsi="Calibri" w:cs="Calibri"/>
        </w:rPr>
      </w:pPr>
    </w:p>
    <w:p w14:paraId="00000013" w14:textId="77777777" w:rsidR="00A57F95" w:rsidRDefault="00000000">
      <w:pPr>
        <w:jc w:val="both"/>
        <w:rPr>
          <w:rFonts w:ascii="Calibri" w:eastAsia="Calibri" w:hAnsi="Calibri" w:cs="Calibri"/>
          <w:b/>
          <w:bCs/>
        </w:rPr>
      </w:pPr>
      <w:r>
        <w:rPr>
          <w:rFonts w:ascii="Calibri" w:eastAsia="Calibri" w:hAnsi="Calibri" w:cs="Calibri"/>
          <w:b/>
          <w:bCs/>
        </w:rPr>
        <w:t>Firuzbay: ‘Çeviklik, esneklik, adaptasyon gibi beceriler dönüşüm dönemlerinde çok önemli’</w:t>
      </w:r>
    </w:p>
    <w:p w14:paraId="00000014" w14:textId="77777777" w:rsidR="00A57F95" w:rsidRDefault="00A57F95">
      <w:pPr>
        <w:jc w:val="both"/>
        <w:rPr>
          <w:rFonts w:ascii="Calibri" w:eastAsia="Calibri" w:hAnsi="Calibri" w:cs="Calibri"/>
          <w:b/>
          <w:bCs/>
        </w:rPr>
      </w:pPr>
    </w:p>
    <w:p w14:paraId="00000015" w14:textId="77777777" w:rsidR="00A57F95" w:rsidRDefault="00000000">
      <w:pPr>
        <w:jc w:val="both"/>
        <w:rPr>
          <w:rFonts w:ascii="Calibri" w:eastAsia="Calibri" w:hAnsi="Calibri" w:cs="Calibri"/>
          <w:b/>
          <w:bCs/>
        </w:rPr>
      </w:pPr>
      <w:r>
        <w:rPr>
          <w:rFonts w:ascii="Calibri" w:eastAsia="Calibri" w:hAnsi="Calibri" w:cs="Calibri"/>
          <w:b/>
          <w:bCs/>
        </w:rPr>
        <w:t xml:space="preserve">PERYÖN Yönetim Kurulu Başkanı Ebru Taşcı Firuzbay </w:t>
      </w:r>
      <w:r>
        <w:rPr>
          <w:rFonts w:ascii="Calibri" w:eastAsia="Calibri" w:hAnsi="Calibri" w:cs="Calibri"/>
        </w:rPr>
        <w:t>konuşmasında şunları vurguladı:</w:t>
      </w:r>
    </w:p>
    <w:p w14:paraId="00000016" w14:textId="77777777" w:rsidR="00A57F95" w:rsidRDefault="00A57F95">
      <w:pPr>
        <w:jc w:val="both"/>
        <w:rPr>
          <w:rFonts w:ascii="Calibri" w:eastAsia="Calibri" w:hAnsi="Calibri" w:cs="Calibri"/>
          <w:b/>
          <w:bCs/>
        </w:rPr>
      </w:pPr>
    </w:p>
    <w:p w14:paraId="00000017" w14:textId="77777777" w:rsidR="00A57F95" w:rsidRDefault="00000000">
      <w:pPr>
        <w:jc w:val="both"/>
        <w:rPr>
          <w:rFonts w:ascii="Calibri" w:eastAsia="Calibri" w:hAnsi="Calibri" w:cs="Calibri"/>
        </w:rPr>
      </w:pPr>
      <w:r>
        <w:rPr>
          <w:rFonts w:ascii="Calibri" w:eastAsia="Calibri" w:hAnsi="Calibri" w:cs="Calibri"/>
        </w:rPr>
        <w:t>“İşgücü piyasasında temel becerilerdeki değişim beklentisi küresel ortalamada %39’ken Türkiye’de %44 seviyesinde gözüküyor. Yani, Türkiye’deki gelişim</w:t>
      </w:r>
      <w:r>
        <w:rPr>
          <w:rFonts w:ascii="Calibri" w:eastAsia="Calibri" w:hAnsi="Calibri" w:cs="Calibri"/>
          <w:b/>
          <w:bCs/>
        </w:rPr>
        <w:t xml:space="preserve"> </w:t>
      </w:r>
      <w:r>
        <w:rPr>
          <w:rFonts w:ascii="Calibri" w:eastAsia="Calibri" w:hAnsi="Calibri" w:cs="Calibri"/>
        </w:rPr>
        <w:t xml:space="preserve">ihtiyacı biraz daha yüksek. Kurumlardaki gelişim programlarının ne kadar önemli olduğunu görüyoruz. Şu anda işverenlerin %48’i çalışanlarına yeniden beceri kazandırma ve eğitim fonları sağlamayı planlıyor. Bu iyi bir haber. Yani, her iki kurumdan biri çalışanların gelişimine bu yatırımı yapma konusunda planlama yapmış. Bu alandaki yatırımların artmasını, beceri kazanma yolunda ülkece daha hızlı yol alabilmeyi umuyoruz. Çeviklik, esneklik, adaptasyon gibi beceriler de böyle dönüşüm dönemlerinde vazgeçilmez, ivme kazandırıcı ve dönüşümü kolaylaştırıcı olarak öne çıkıyor. Yine bu veriler sürekli gelişim ve öğrenme ihtiyacının kurumlarımızda çalışanlarımıza aşılamamız gereken özellikler olduğunu gösteriyor. Yeni nesle ihtiyaç duyulan yeni becerilerin kazandırılmasında akademik desteklerin ne kadar önemli olduğunu ortaya koyuyor. Ülkemizi geleceğin çalışma hayatına bu yatırımlarla hazırlayacağız... Raporda demografik değişimler ve yeşil dönüşüm, geleceğin iş dünyasını şekillendiren en önemli trendler arasında yer </w:t>
      </w:r>
      <w:r>
        <w:rPr>
          <w:rFonts w:ascii="Calibri" w:eastAsia="Calibri" w:hAnsi="Calibri" w:cs="Calibri"/>
        </w:rPr>
        <w:lastRenderedPageBreak/>
        <w:t>alıyor. Ve yine açıkça göründüğü üzere, istihdama kadın ve gençlerin dahil olması işgücünü destekliyor. Daha kapsayıcı bir bakışla, kadın ve genç istihdamını geliştirmenin de önümüzdeki öncelikli gündemler arasında yer alması gerekiyor.”</w:t>
      </w:r>
    </w:p>
    <w:p w14:paraId="00000018" w14:textId="77777777" w:rsidR="00A57F95" w:rsidRDefault="00A57F95">
      <w:pPr>
        <w:rPr>
          <w:rFonts w:ascii="Calibri" w:eastAsia="Calibri" w:hAnsi="Calibri" w:cs="Calibri"/>
        </w:rPr>
      </w:pPr>
    </w:p>
    <w:p w14:paraId="00000019" w14:textId="77777777" w:rsidR="00A57F95" w:rsidRDefault="00000000">
      <w:pPr>
        <w:rPr>
          <w:rFonts w:ascii="Calibri" w:eastAsia="Calibri" w:hAnsi="Calibri" w:cs="Calibri"/>
          <w:b/>
          <w:bCs/>
        </w:rPr>
      </w:pPr>
      <w:r>
        <w:rPr>
          <w:rFonts w:ascii="Calibri" w:eastAsia="Calibri" w:hAnsi="Calibri" w:cs="Calibri"/>
          <w:b/>
          <w:bCs/>
        </w:rPr>
        <w:t>Öztınaz: ‘Önümüzde çok büyük bir fırsat var’</w:t>
      </w:r>
    </w:p>
    <w:p w14:paraId="0000001A" w14:textId="77777777" w:rsidR="00A57F95" w:rsidRDefault="00A57F95">
      <w:pPr>
        <w:jc w:val="both"/>
        <w:rPr>
          <w:rFonts w:ascii="Calibri" w:eastAsia="Calibri" w:hAnsi="Calibri" w:cs="Calibri"/>
          <w:b/>
          <w:bCs/>
        </w:rPr>
      </w:pPr>
    </w:p>
    <w:p w14:paraId="0000001B" w14:textId="77777777" w:rsidR="00A57F95" w:rsidRDefault="00000000">
      <w:pPr>
        <w:jc w:val="both"/>
        <w:rPr>
          <w:rFonts w:ascii="Calibri" w:eastAsia="Calibri" w:hAnsi="Calibri" w:cs="Calibri"/>
        </w:rPr>
      </w:pPr>
      <w:r>
        <w:rPr>
          <w:rFonts w:ascii="Calibri" w:eastAsia="Calibri" w:hAnsi="Calibri" w:cs="Calibri"/>
          <w:b/>
          <w:bCs/>
        </w:rPr>
        <w:t>EAPM Başkanı Berna Öztınaz</w:t>
      </w:r>
      <w:r>
        <w:rPr>
          <w:rFonts w:ascii="Calibri" w:eastAsia="Calibri" w:hAnsi="Calibri" w:cs="Calibri"/>
        </w:rPr>
        <w:t>, konuşmasında şunlara değindi: “Rapor, bir yetkinlik kazanmak için yaklaşık 5 yıl çalışıldığını gösteriyor. Ama bu 5 yılın sonuna geldiğin zaman, bu yetkinlik için harcadığın 2 yıl çöpe gidiyor, güncelliğini yitiriyor. Böylesi bir devinimin yaşandığı bir dönemde, çalışanlarınıza sürekli yeni beceriler kazandırabilmek ve onları tüm yetenek açıklarını kapayacak şekilde istihdam edebilmek istiyorsunuz. Bence böyle bir hızın altından kalkabilecek bir işyeri, bir işveren yok. Dolayısıyla temel politikalara dönüp bakmak lazım. Çekya, Polonya, Bulgaristan, Romanya gibi ülkelerde yetenek açığı neden bize göre daha düşük? Çok bariz bir farklılık var. Bu ülkelerde ekonomi, istihdam ve teşvik politikaları bu yetkinlik ve yetenek açığını kapatacak şekilde çalışıyor. Dolayısıyla sağlanan teşvikler de oldukça kapsamlı. Bizim de Türkiye’de bu tarz bir yapıya hızla geçmek lazım. Önümüzde çok büyük bir fırsat var, bu fırsatı değerlendirebilmek mümkün. Topyekün seferberliğe ihtiyaç var.”</w:t>
      </w:r>
    </w:p>
    <w:p w14:paraId="0000001C" w14:textId="77777777" w:rsidR="00A57F95" w:rsidRDefault="00A57F95">
      <w:pPr>
        <w:rPr>
          <w:rFonts w:ascii="Calibri" w:eastAsia="Calibri" w:hAnsi="Calibri" w:cs="Calibri"/>
          <w:b/>
          <w:bCs/>
        </w:rPr>
      </w:pPr>
    </w:p>
    <w:p w14:paraId="0000001D" w14:textId="77777777" w:rsidR="00A57F95" w:rsidRDefault="00000000">
      <w:pPr>
        <w:rPr>
          <w:rFonts w:ascii="Calibri" w:eastAsia="Calibri" w:hAnsi="Calibri" w:cs="Calibri"/>
          <w:b/>
          <w:bCs/>
        </w:rPr>
      </w:pPr>
      <w:r>
        <w:rPr>
          <w:rFonts w:ascii="Calibri" w:eastAsia="Calibri" w:hAnsi="Calibri" w:cs="Calibri"/>
          <w:b/>
          <w:bCs/>
        </w:rPr>
        <w:t>Sezen: ‘2028’de iş akışındaki kararların %15’ini yapay zeka verecek’</w:t>
      </w:r>
    </w:p>
    <w:p w14:paraId="0000001E" w14:textId="77777777" w:rsidR="00A57F95" w:rsidRDefault="00A57F95">
      <w:pPr>
        <w:rPr>
          <w:rFonts w:ascii="Calibri" w:eastAsia="Calibri" w:hAnsi="Calibri" w:cs="Calibri"/>
          <w:b/>
          <w:bCs/>
        </w:rPr>
      </w:pPr>
    </w:p>
    <w:p w14:paraId="0000001F" w14:textId="77777777" w:rsidR="00A57F95" w:rsidRDefault="00000000">
      <w:pPr>
        <w:rPr>
          <w:rFonts w:ascii="Calibri" w:eastAsia="Calibri" w:hAnsi="Calibri" w:cs="Calibri"/>
        </w:rPr>
      </w:pPr>
      <w:r>
        <w:rPr>
          <w:rFonts w:ascii="Calibri" w:eastAsia="Calibri" w:hAnsi="Calibri" w:cs="Calibri"/>
          <w:b/>
          <w:bCs/>
        </w:rPr>
        <w:t xml:space="preserve">Bloomberg HT Genel Yayın Yönetmeni ve PERYÖN Danışma Kurulu Üyesi Açıl Sezen </w:t>
      </w:r>
      <w:r>
        <w:rPr>
          <w:rFonts w:ascii="Calibri" w:eastAsia="Calibri" w:hAnsi="Calibri" w:cs="Calibri"/>
        </w:rPr>
        <w:t>ise, moderasyonunu üstlendiği webinarda geleceğin teknolojilerinin iş hayatını nasıl dönüştüreceğine ilişkin şunları vurguladı:</w:t>
      </w:r>
    </w:p>
    <w:p w14:paraId="00000020" w14:textId="77777777" w:rsidR="00A57F95" w:rsidRDefault="00000000">
      <w:pPr>
        <w:jc w:val="both"/>
        <w:rPr>
          <w:rFonts w:ascii="Calibri" w:eastAsia="Calibri" w:hAnsi="Calibri" w:cs="Calibri"/>
        </w:rPr>
      </w:pPr>
      <w:r>
        <w:rPr>
          <w:rFonts w:ascii="Calibri" w:eastAsia="Calibri" w:hAnsi="Calibri" w:cs="Calibri"/>
        </w:rPr>
        <w:t>“Gartner Group’un geleceğin teknolojilerine ilişkin raporunda ‘agentic AI’ unsurunu öne çıkarıyor. Yani, kendi düşünüp verdiği kararlarla birlikte iş dünyasını yönlendirebilecek yapay zeka. Bu teknolojinin özellikle otomasyon başta olmak üzere planlamada birtakım şeyler için önlem alabilme yetkinliğini artırabilmede, çevresel faktörleri ekarte edebilmede ya da lehe çevirebilmede çok katkısı olacağı düşünülüyor. Rapor, bu teknolojinin kullanılmasıyla birlikte 2028 yılına geldiğimiz zaman günlük işlere dönük kararların %15 kadarının otomasyonla alınacağını söylüyor. Bunlar, kendimizi bugünden hazırlamamız gereken öngörüler. Şirketler cephesi verim ve kâr neredeyse oradadır. Elbette insan kaynaklarına burada çok önemli yer düşüyor. Aradaki dengeyi sağlayabilecek olan insan kaynaklarıdır.”</w:t>
      </w:r>
    </w:p>
    <w:p w14:paraId="00000021" w14:textId="77777777" w:rsidR="00A57F95" w:rsidRDefault="00000000">
      <w:pPr>
        <w:rPr>
          <w:rFonts w:ascii="Calibri" w:eastAsia="Calibri" w:hAnsi="Calibri" w:cs="Calibri"/>
          <w:b/>
          <w:bCs/>
        </w:rPr>
      </w:pPr>
      <w:r>
        <w:rPr>
          <w:rFonts w:ascii="Calibri" w:eastAsia="Calibri" w:hAnsi="Calibri" w:cs="Calibri"/>
          <w:b/>
          <w:bCs/>
        </w:rPr>
        <w:t xml:space="preserve">... </w:t>
      </w:r>
    </w:p>
    <w:p w14:paraId="00000022" w14:textId="77777777" w:rsidR="00A57F95" w:rsidRDefault="00000000">
      <w:pPr>
        <w:rPr>
          <w:rFonts w:ascii="Calibri" w:eastAsia="Cambria" w:hAnsi="Calibri" w:cs="Calibri"/>
          <w:lang w:val="en-US"/>
        </w:rPr>
      </w:pPr>
      <w:r>
        <w:rPr>
          <w:rFonts w:ascii="Calibri" w:hAnsi="Calibri" w:cs="Calibri"/>
          <w:b/>
          <w:bCs/>
        </w:rPr>
        <w:t xml:space="preserve">‘Türkiye’de ve Dünyada İşlerin Geleceğine Detaylı Bakış’ </w:t>
      </w:r>
      <w:r>
        <w:rPr>
          <w:rFonts w:ascii="Calibri" w:eastAsia="Cambria" w:hAnsi="Calibri" w:cs="Calibri"/>
        </w:rPr>
        <w:t xml:space="preserve">başlıklı webinarın kaydı PERYÖN YouTube kanalından izlenebilir: </w:t>
      </w:r>
      <w:r>
        <w:rPr>
          <w:rFonts w:ascii="Calibri" w:hAnsi="Calibri" w:cs="Calibri"/>
        </w:rPr>
        <w:t xml:space="preserve"> </w:t>
      </w:r>
      <w:r>
        <w:rPr>
          <w:rFonts w:ascii="Calibri" w:hAnsi="Calibri" w:cs="Calibri"/>
          <w:lang w:val="en-US"/>
        </w:rPr>
        <w:t>https://www.youtube.com/watch?v=2dZ3r2tCLvw</w:t>
      </w:r>
    </w:p>
    <w:p w14:paraId="00000023" w14:textId="77777777" w:rsidR="00A57F95" w:rsidRDefault="00A57F95">
      <w:pPr>
        <w:rPr>
          <w:rFonts w:ascii="Calibri" w:eastAsia="Cambria" w:hAnsi="Calibri" w:cs="Calibri"/>
        </w:rPr>
      </w:pPr>
    </w:p>
    <w:p w14:paraId="00000024" w14:textId="77777777" w:rsidR="00A57F95" w:rsidRDefault="00000000">
      <w:pPr>
        <w:jc w:val="both"/>
        <w:rPr>
          <w:rFonts w:ascii="Calibri" w:eastAsia="Cambria" w:hAnsi="Calibri" w:cs="Calibri"/>
          <w:b/>
          <w:sz w:val="20"/>
          <w:szCs w:val="20"/>
        </w:rPr>
      </w:pPr>
      <w:r>
        <w:rPr>
          <w:rFonts w:ascii="Calibri" w:eastAsia="Cambria" w:hAnsi="Calibri" w:cs="Calibri"/>
          <w:b/>
          <w:sz w:val="20"/>
          <w:szCs w:val="20"/>
        </w:rPr>
        <w:t>Basın İletişimi:</w:t>
      </w:r>
    </w:p>
    <w:p w14:paraId="00000025" w14:textId="77777777" w:rsidR="00A57F95" w:rsidRDefault="00000000">
      <w:pPr>
        <w:jc w:val="both"/>
        <w:rPr>
          <w:rFonts w:ascii="Calibri" w:eastAsia="Cambria" w:hAnsi="Calibri" w:cs="Calibri"/>
          <w:sz w:val="20"/>
          <w:szCs w:val="20"/>
        </w:rPr>
      </w:pPr>
      <w:r>
        <w:rPr>
          <w:rFonts w:ascii="Calibri" w:eastAsia="Cambria" w:hAnsi="Calibri" w:cs="Calibri"/>
          <w:sz w:val="20"/>
          <w:szCs w:val="20"/>
        </w:rPr>
        <w:t>Ezgi Atabilen</w:t>
      </w:r>
    </w:p>
    <w:p w14:paraId="00000026" w14:textId="77777777" w:rsidR="00A57F95" w:rsidRDefault="00000000">
      <w:pPr>
        <w:jc w:val="both"/>
        <w:rPr>
          <w:rFonts w:ascii="Calibri" w:eastAsia="Cambria" w:hAnsi="Calibri" w:cs="Calibri"/>
          <w:sz w:val="20"/>
          <w:szCs w:val="20"/>
        </w:rPr>
      </w:pPr>
      <w:r>
        <w:rPr>
          <w:rFonts w:ascii="Calibri" w:eastAsia="Cambria" w:hAnsi="Calibri" w:cs="Calibri"/>
          <w:sz w:val="20"/>
          <w:szCs w:val="20"/>
        </w:rPr>
        <w:t>Proactive İletişim</w:t>
      </w:r>
    </w:p>
    <w:p w14:paraId="00000027" w14:textId="77777777" w:rsidR="00A57F95" w:rsidRDefault="00000000">
      <w:pPr>
        <w:jc w:val="both"/>
        <w:rPr>
          <w:rFonts w:ascii="Calibri" w:eastAsia="Cambria" w:hAnsi="Calibri" w:cs="Calibri"/>
          <w:sz w:val="20"/>
          <w:szCs w:val="20"/>
        </w:rPr>
      </w:pPr>
      <w:hyperlink r:id="rId10" w:history="1">
        <w:r>
          <w:rPr>
            <w:rStyle w:val="Kpr"/>
            <w:rFonts w:ascii="Calibri" w:eastAsia="Cambria" w:hAnsi="Calibri" w:cs="Calibri"/>
            <w:sz w:val="20"/>
            <w:szCs w:val="20"/>
          </w:rPr>
          <w:t>ezgi@proactiveiletisim.com</w:t>
        </w:r>
      </w:hyperlink>
    </w:p>
    <w:p w14:paraId="00000028" w14:textId="77777777" w:rsidR="00A57F95" w:rsidRDefault="00000000">
      <w:pPr>
        <w:jc w:val="both"/>
        <w:rPr>
          <w:rFonts w:ascii="Calibri" w:eastAsia="Cambria" w:hAnsi="Calibri" w:cs="Calibri"/>
          <w:b/>
          <w:sz w:val="20"/>
          <w:szCs w:val="20"/>
        </w:rPr>
      </w:pPr>
      <w:r>
        <w:rPr>
          <w:rFonts w:ascii="Calibri" w:eastAsia="Cambria" w:hAnsi="Calibri" w:cs="Calibri"/>
          <w:sz w:val="20"/>
          <w:szCs w:val="20"/>
        </w:rPr>
        <w:t>0 (506) 870 65 60</w:t>
      </w:r>
    </w:p>
    <w:p w14:paraId="00000029" w14:textId="77777777" w:rsidR="00A57F95" w:rsidRDefault="00A57F95">
      <w:pPr>
        <w:spacing w:after="160" w:line="256" w:lineRule="auto"/>
        <w:rPr>
          <w:rFonts w:ascii="Calibri" w:eastAsia="Cambria" w:hAnsi="Calibri" w:cs="Calibri"/>
        </w:rPr>
      </w:pPr>
    </w:p>
    <w:sectPr w:rsidR="00A57F95">
      <w:headerReference w:type="default" r:id="rId11"/>
      <w:footerReference w:type="default" r:id="rId12"/>
      <w:pgSz w:w="11909" w:h="16834"/>
      <w:pgMar w:top="1440" w:right="1440" w:bottom="1276"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40E87" w14:textId="77777777" w:rsidR="00B84BD6" w:rsidRDefault="00B84BD6">
      <w:pPr>
        <w:spacing w:line="240" w:lineRule="auto"/>
      </w:pPr>
      <w:r>
        <w:separator/>
      </w:r>
    </w:p>
  </w:endnote>
  <w:endnote w:type="continuationSeparator" w:id="0">
    <w:p w14:paraId="2D08F4B6" w14:textId="77777777" w:rsidR="00B84BD6" w:rsidRDefault="00B84BD6">
      <w:pPr>
        <w:spacing w:line="240" w:lineRule="auto"/>
      </w:pPr>
      <w:r>
        <w:continuationSeparator/>
      </w:r>
    </w:p>
  </w:endnote>
  <w:endnote w:type="continuationNotice" w:id="1">
    <w:p w14:paraId="6CBEF6E5" w14:textId="77777777" w:rsidR="00B84BD6" w:rsidRDefault="00B84B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1" w:fontKey="{4EFD38F6-6685-41F2-BB92-4EA3840703B7}"/>
    <w:embedBold r:id="rId2" w:fontKey="{DB2E7F54-E66B-4E0D-B74D-04CFBAC2DF2D}"/>
    <w:embedItalic r:id="rId3" w:fontKey="{609A3D81-5F00-4575-BE2C-B2086DCFC9C3}"/>
    <w:embedBoldItalic r:id="rId4" w:fontKey="{F69F1C83-B28E-42EF-AA14-556A1D543379}"/>
  </w:font>
  <w:font w:name="Roboto">
    <w:charset w:val="00"/>
    <w:family w:val="auto"/>
    <w:pitch w:val="variable"/>
    <w:sig w:usb0="E0000AFF" w:usb1="5000217F" w:usb2="00000021" w:usb3="00000000" w:csb0="0000019F" w:csb1="00000000"/>
    <w:embedRegular r:id="rId5" w:fontKey="{73E8721C-26BF-4607-81C6-81257D56F79A}"/>
    <w:embedBold r:id="rId6" w:fontKey="{C617D810-C685-47BD-985D-3DC36DC0C8A9}"/>
  </w:font>
  <w:font w:name="Cambria">
    <w:panose1 w:val="02040503050406030204"/>
    <w:charset w:val="A2"/>
    <w:family w:val="roman"/>
    <w:pitch w:val="variable"/>
    <w:sig w:usb0="E00006FF" w:usb1="420024FF" w:usb2="02000000" w:usb3="00000000" w:csb0="0000019F" w:csb1="00000000"/>
    <w:embedRegular r:id="rId7" w:fontKey="{55E2BDFA-E417-4ABD-9A94-C2E7DA7F6D0F}"/>
    <w:embedBold r:id="rId8" w:fontKey="{BB35A370-5456-459A-A25B-4579085031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77777777" w:rsidR="00A57F95" w:rsidRDefault="00000000">
    <w:pPr>
      <w:pStyle w:val="AltBilgi"/>
    </w:pPr>
    <w:r>
      <w:rPr>
        <w:noProof/>
      </w:rPr>
      <mc:AlternateContent>
        <mc:Choice Requires="wps">
          <w:drawing>
            <wp:anchor distT="0" distB="0" distL="114300" distR="114300" simplePos="0" relativeHeight="251658240" behindDoc="0" locked="0" layoutInCell="1" allowOverlap="1" wp14:anchorId="0D9F1CAF">
              <wp:simplePos x="0" y="0"/>
              <wp:positionH relativeFrom="page">
                <wp:posOffset>0</wp:posOffset>
              </wp:positionH>
              <wp:positionV relativeFrom="page">
                <wp:posOffset>10225405</wp:posOffset>
              </wp:positionV>
              <wp:extent cx="7562215" cy="273050"/>
              <wp:effectExtent l="0" t="0" r="0" b="0"/>
              <wp:wrapNone/>
              <wp:docPr id="517935757" name="MSIPCM222f481e8e68e4a64f84d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215" cy="273050"/>
                      </a:xfrm>
                      <a:prstGeom prst="rect">
                        <a:avLst/>
                      </a:prstGeom>
                      <a:noFill/>
                      <a:ln w="6350">
                        <a:noFill/>
                      </a:ln>
                    </wps:spPr>
                    <wps:txbx>
                      <w:txbxContent>
                        <w:p w14:paraId="0000002C" w14:textId="77777777" w:rsidR="00A57F95" w:rsidRDefault="00000000">
                          <w:pPr>
                            <w:rPr>
                              <w:rFonts w:ascii="Calibri" w:hAnsi="Calibri" w:cs="Calibri"/>
                              <w:color w:val="000000"/>
                              <w:sz w:val="14"/>
                            </w:rPr>
                          </w:pPr>
                          <w:r>
                            <w:rPr>
                              <w:rFonts w:ascii="Calibri" w:hAnsi="Calibri" w:cs="Calibri"/>
                              <w:color w:val="000000"/>
                              <w:sz w:val="14"/>
                            </w:rPr>
                            <w:t>C2 General</w:t>
                          </w:r>
                        </w:p>
                      </w:txbxContent>
                    </wps:txbx>
                    <wps:bodyPr vertOverflow="overflow" horzOverflow="overflow" vert="horz" wrap="square" lIns="254000" tIns="0" rIns="91440" bIns="0" rtlCol="0" anchor="b">
                      <a:prstTxWarp prst="textNoShape">
                        <a:avLst/>
                      </a:prstTxWarp>
                      <a:noAutofit/>
                    </wps:bodyPr>
                  </wps:wsp>
                </a:graphicData>
              </a:graphic>
            </wp:anchor>
          </w:drawing>
        </mc:Choice>
        <mc:Fallback xmlns:dgm="http://schemas.openxmlformats.org/drawingml/2006/diagram" xmlns:a="http://schemas.openxmlformats.org/drawingml/2006/main">
          <w:pict>
            <v:shape id="009A2DC4-20D0-B067-ED7BBEDB144E" coordsize="21600,21600" style="position:absolute;width:595.45pt;height:21.5pt;margin-top:805.15pt;margin-left:0pt;mso-wrap-distance-left:9pt;mso-wrap-distance-right:9pt;mso-wrap-distance-top:0pt;mso-wrap-distance-bottom:0pt;mso-position-horizontal-relative:page;mso-position-vertical-relative:page;rotation:0.000000;z-index:251658240;" stroked="f" o:spt="1" path="m0,0 l0,21600 r21600,0 l21600,0 x e">
              <w10:wrap side="both"/>
              <o: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C178D" w14:textId="77777777" w:rsidR="00B84BD6" w:rsidRDefault="00B84BD6">
      <w:pPr>
        <w:spacing w:line="240" w:lineRule="auto"/>
      </w:pPr>
      <w:r>
        <w:separator/>
      </w:r>
    </w:p>
  </w:footnote>
  <w:footnote w:type="continuationSeparator" w:id="0">
    <w:p w14:paraId="451C099A" w14:textId="77777777" w:rsidR="00B84BD6" w:rsidRDefault="00B84BD6">
      <w:pPr>
        <w:spacing w:line="240" w:lineRule="auto"/>
      </w:pPr>
      <w:r>
        <w:continuationSeparator/>
      </w:r>
    </w:p>
  </w:footnote>
  <w:footnote w:type="continuationNotice" w:id="1">
    <w:p w14:paraId="7AA92832" w14:textId="77777777" w:rsidR="00B84BD6" w:rsidRDefault="00B84B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A57F95" w:rsidRDefault="00000000">
    <w:pPr>
      <w:tabs>
        <w:tab w:val="center" w:pos="4536"/>
        <w:tab w:val="right" w:pos="9072"/>
      </w:tabs>
      <w:spacing w:line="240" w:lineRule="auto"/>
    </w:pPr>
    <w:r>
      <w:rPr>
        <w:rFonts w:ascii="Calibri" w:eastAsia="Calibri" w:hAnsi="Calibri" w:cs="Calibri"/>
        <w:noProof/>
      </w:rPr>
      <w:drawing>
        <wp:inline distT="0" distB="0" distL="0" distR="0" wp14:anchorId="6E45FA45">
          <wp:extent cx="2443163" cy="814388"/>
          <wp:effectExtent l="0" t="0" r="0" b="0"/>
          <wp:docPr id="517935756"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935750" name="image1.jpg"/>
                  <pic:cNvPicPr preferRelativeResize="0"/>
                </pic:nvPicPr>
                <pic:blipFill>
                  <a:blip r:embed="rId1"/>
                  <a:srcRect/>
                  <a:stretch>
                    <a:fillRect/>
                  </a:stretch>
                </pic:blipFill>
                <pic:spPr>
                  <a:xfrm>
                    <a:off x="0" y="0"/>
                    <a:ext cx="2443163" cy="8143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352CB9"/>
    <w:multiLevelType w:val="hybridMultilevel"/>
    <w:tmpl w:val="FD4A88E0"/>
    <w:lvl w:ilvl="0" w:tplc="937EC608">
      <w:start w:val="1"/>
      <w:numFmt w:val="bullet"/>
      <w:lvlText w:val=""/>
      <w:lvlJc w:val="left"/>
      <w:pPr>
        <w:ind w:left="720" w:hanging="360"/>
      </w:pPr>
      <w:rPr>
        <w:rFonts w:ascii="Symbol" w:hAnsi="Symbol" w:hint="default"/>
      </w:rPr>
    </w:lvl>
    <w:lvl w:ilvl="1" w:tplc="BC46537E">
      <w:start w:val="1"/>
      <w:numFmt w:val="decimal"/>
      <w:lvlText w:val="%2."/>
      <w:lvlJc w:val="left"/>
      <w:pPr>
        <w:ind w:left="1440" w:hanging="360"/>
      </w:pPr>
    </w:lvl>
    <w:lvl w:ilvl="2" w:tplc="6EA663F8">
      <w:start w:val="1"/>
      <w:numFmt w:val="bullet"/>
      <w:lvlText w:val=""/>
      <w:lvlJc w:val="left"/>
      <w:pPr>
        <w:ind w:left="2160" w:hanging="360"/>
      </w:pPr>
      <w:rPr>
        <w:rFonts w:ascii="Wingdings" w:hAnsi="Wingdings" w:hint="default"/>
      </w:rPr>
    </w:lvl>
    <w:lvl w:ilvl="3" w:tplc="B1D840F0">
      <w:start w:val="1"/>
      <w:numFmt w:val="bullet"/>
      <w:lvlText w:val=""/>
      <w:lvlJc w:val="left"/>
      <w:pPr>
        <w:ind w:left="2880" w:hanging="360"/>
      </w:pPr>
      <w:rPr>
        <w:rFonts w:ascii="Symbol" w:hAnsi="Symbol" w:hint="default"/>
      </w:rPr>
    </w:lvl>
    <w:lvl w:ilvl="4" w:tplc="932C7AF4" w:tentative="1">
      <w:start w:val="1"/>
      <w:numFmt w:val="bullet"/>
      <w:lvlText w:val="o"/>
      <w:lvlJc w:val="left"/>
      <w:pPr>
        <w:ind w:left="3600" w:hanging="360"/>
      </w:pPr>
      <w:rPr>
        <w:rFonts w:ascii="Courier New" w:hAnsi="Courier New" w:cs="Courier New" w:hint="default"/>
      </w:rPr>
    </w:lvl>
    <w:lvl w:ilvl="5" w:tplc="74044896" w:tentative="1">
      <w:start w:val="1"/>
      <w:numFmt w:val="bullet"/>
      <w:lvlText w:val=""/>
      <w:lvlJc w:val="left"/>
      <w:pPr>
        <w:ind w:left="4320" w:hanging="360"/>
      </w:pPr>
      <w:rPr>
        <w:rFonts w:ascii="Wingdings" w:hAnsi="Wingdings" w:hint="default"/>
      </w:rPr>
    </w:lvl>
    <w:lvl w:ilvl="6" w:tplc="309075F0" w:tentative="1">
      <w:start w:val="1"/>
      <w:numFmt w:val="bullet"/>
      <w:lvlText w:val=""/>
      <w:lvlJc w:val="left"/>
      <w:pPr>
        <w:ind w:left="5040" w:hanging="360"/>
      </w:pPr>
      <w:rPr>
        <w:rFonts w:ascii="Symbol" w:hAnsi="Symbol" w:hint="default"/>
      </w:rPr>
    </w:lvl>
    <w:lvl w:ilvl="7" w:tplc="D9C0160A" w:tentative="1">
      <w:start w:val="1"/>
      <w:numFmt w:val="bullet"/>
      <w:lvlText w:val="o"/>
      <w:lvlJc w:val="left"/>
      <w:pPr>
        <w:ind w:left="5760" w:hanging="360"/>
      </w:pPr>
      <w:rPr>
        <w:rFonts w:ascii="Courier New" w:hAnsi="Courier New" w:cs="Courier New" w:hint="default"/>
      </w:rPr>
    </w:lvl>
    <w:lvl w:ilvl="8" w:tplc="BAFAAB1E" w:tentative="1">
      <w:start w:val="1"/>
      <w:numFmt w:val="bullet"/>
      <w:lvlText w:val=""/>
      <w:lvlJc w:val="left"/>
      <w:pPr>
        <w:ind w:left="6480" w:hanging="360"/>
      </w:pPr>
      <w:rPr>
        <w:rFonts w:ascii="Wingdings" w:hAnsi="Wingdings" w:hint="default"/>
      </w:rPr>
    </w:lvl>
  </w:abstractNum>
  <w:num w:numId="1" w16cid:durableId="12944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C90"/>
    <w:rsid w:val="00003B62"/>
    <w:rsid w:val="00012E70"/>
    <w:rsid w:val="00021CC7"/>
    <w:rsid w:val="000246AF"/>
    <w:rsid w:val="00026F81"/>
    <w:rsid w:val="00047208"/>
    <w:rsid w:val="000538CA"/>
    <w:rsid w:val="000679CD"/>
    <w:rsid w:val="00075D02"/>
    <w:rsid w:val="00076DD2"/>
    <w:rsid w:val="00077B7B"/>
    <w:rsid w:val="0008017B"/>
    <w:rsid w:val="00080F12"/>
    <w:rsid w:val="00085A09"/>
    <w:rsid w:val="00087878"/>
    <w:rsid w:val="000967FD"/>
    <w:rsid w:val="000974AD"/>
    <w:rsid w:val="000A3376"/>
    <w:rsid w:val="000A3D47"/>
    <w:rsid w:val="000B1B5F"/>
    <w:rsid w:val="000B3BA1"/>
    <w:rsid w:val="000B7128"/>
    <w:rsid w:val="000C0840"/>
    <w:rsid w:val="000D132E"/>
    <w:rsid w:val="000F0E80"/>
    <w:rsid w:val="000F0F7B"/>
    <w:rsid w:val="000F103F"/>
    <w:rsid w:val="000F2B21"/>
    <w:rsid w:val="000F6C26"/>
    <w:rsid w:val="000F6D36"/>
    <w:rsid w:val="001055B0"/>
    <w:rsid w:val="00105BB4"/>
    <w:rsid w:val="00111FD2"/>
    <w:rsid w:val="00115CFA"/>
    <w:rsid w:val="00130CA5"/>
    <w:rsid w:val="00132415"/>
    <w:rsid w:val="00133718"/>
    <w:rsid w:val="001377FF"/>
    <w:rsid w:val="001408D9"/>
    <w:rsid w:val="001415FD"/>
    <w:rsid w:val="00142BF4"/>
    <w:rsid w:val="00151FE7"/>
    <w:rsid w:val="0015557B"/>
    <w:rsid w:val="0015787D"/>
    <w:rsid w:val="00161006"/>
    <w:rsid w:val="00161206"/>
    <w:rsid w:val="00161E9F"/>
    <w:rsid w:val="00181DB4"/>
    <w:rsid w:val="00184441"/>
    <w:rsid w:val="00185CD2"/>
    <w:rsid w:val="00185EAE"/>
    <w:rsid w:val="001900FC"/>
    <w:rsid w:val="00193630"/>
    <w:rsid w:val="00197EA8"/>
    <w:rsid w:val="001A5FC2"/>
    <w:rsid w:val="001B0CE3"/>
    <w:rsid w:val="001B4DCB"/>
    <w:rsid w:val="001B58CD"/>
    <w:rsid w:val="001D555A"/>
    <w:rsid w:val="001D78CA"/>
    <w:rsid w:val="001E10B7"/>
    <w:rsid w:val="001E4CC2"/>
    <w:rsid w:val="001F5EDA"/>
    <w:rsid w:val="00201389"/>
    <w:rsid w:val="00202BA6"/>
    <w:rsid w:val="00210DAF"/>
    <w:rsid w:val="00213E6B"/>
    <w:rsid w:val="00216F9D"/>
    <w:rsid w:val="00222FE4"/>
    <w:rsid w:val="00223221"/>
    <w:rsid w:val="00223F2E"/>
    <w:rsid w:val="00224BA2"/>
    <w:rsid w:val="00224C6E"/>
    <w:rsid w:val="00225990"/>
    <w:rsid w:val="002302D3"/>
    <w:rsid w:val="0023147D"/>
    <w:rsid w:val="00233501"/>
    <w:rsid w:val="00233EFB"/>
    <w:rsid w:val="00235DA3"/>
    <w:rsid w:val="0024265D"/>
    <w:rsid w:val="00243EAA"/>
    <w:rsid w:val="00244B4C"/>
    <w:rsid w:val="0026272E"/>
    <w:rsid w:val="00263482"/>
    <w:rsid w:val="00265058"/>
    <w:rsid w:val="0026609D"/>
    <w:rsid w:val="00272643"/>
    <w:rsid w:val="00283903"/>
    <w:rsid w:val="0028478A"/>
    <w:rsid w:val="00286E0E"/>
    <w:rsid w:val="00291F96"/>
    <w:rsid w:val="00295692"/>
    <w:rsid w:val="002A14D4"/>
    <w:rsid w:val="002A2AC6"/>
    <w:rsid w:val="002A5865"/>
    <w:rsid w:val="002B1F7E"/>
    <w:rsid w:val="002B5C17"/>
    <w:rsid w:val="002C4033"/>
    <w:rsid w:val="002D289F"/>
    <w:rsid w:val="002D3A06"/>
    <w:rsid w:val="002D40E2"/>
    <w:rsid w:val="002E1FBC"/>
    <w:rsid w:val="002F1F5B"/>
    <w:rsid w:val="002F21D5"/>
    <w:rsid w:val="002F4182"/>
    <w:rsid w:val="003011EE"/>
    <w:rsid w:val="003078A7"/>
    <w:rsid w:val="0031200F"/>
    <w:rsid w:val="00312785"/>
    <w:rsid w:val="00312858"/>
    <w:rsid w:val="003320B2"/>
    <w:rsid w:val="00333DC0"/>
    <w:rsid w:val="00351D65"/>
    <w:rsid w:val="0036396E"/>
    <w:rsid w:val="003677FC"/>
    <w:rsid w:val="00371D61"/>
    <w:rsid w:val="0038122A"/>
    <w:rsid w:val="00386E52"/>
    <w:rsid w:val="00391E6D"/>
    <w:rsid w:val="003A0254"/>
    <w:rsid w:val="003A139A"/>
    <w:rsid w:val="003C5B25"/>
    <w:rsid w:val="003D3E65"/>
    <w:rsid w:val="003D41F2"/>
    <w:rsid w:val="003E2089"/>
    <w:rsid w:val="003E227B"/>
    <w:rsid w:val="003F274B"/>
    <w:rsid w:val="003F3C8A"/>
    <w:rsid w:val="00410721"/>
    <w:rsid w:val="00410BF9"/>
    <w:rsid w:val="0041282E"/>
    <w:rsid w:val="004129FB"/>
    <w:rsid w:val="0041320A"/>
    <w:rsid w:val="00417AD4"/>
    <w:rsid w:val="00424B1F"/>
    <w:rsid w:val="00425B65"/>
    <w:rsid w:val="00426DCA"/>
    <w:rsid w:val="00433078"/>
    <w:rsid w:val="00441A08"/>
    <w:rsid w:val="00446564"/>
    <w:rsid w:val="00446F44"/>
    <w:rsid w:val="00451269"/>
    <w:rsid w:val="00457931"/>
    <w:rsid w:val="004579B2"/>
    <w:rsid w:val="00463110"/>
    <w:rsid w:val="0046625A"/>
    <w:rsid w:val="00483D32"/>
    <w:rsid w:val="00484173"/>
    <w:rsid w:val="00490605"/>
    <w:rsid w:val="00491425"/>
    <w:rsid w:val="004A2848"/>
    <w:rsid w:val="004A3807"/>
    <w:rsid w:val="004B76BD"/>
    <w:rsid w:val="004C32A1"/>
    <w:rsid w:val="004C6EE3"/>
    <w:rsid w:val="004D517C"/>
    <w:rsid w:val="004D5B2C"/>
    <w:rsid w:val="004E56D7"/>
    <w:rsid w:val="004F46B4"/>
    <w:rsid w:val="004F5124"/>
    <w:rsid w:val="004F5F30"/>
    <w:rsid w:val="0050043E"/>
    <w:rsid w:val="00500CBD"/>
    <w:rsid w:val="005130DB"/>
    <w:rsid w:val="005169FD"/>
    <w:rsid w:val="005218BF"/>
    <w:rsid w:val="00521CF1"/>
    <w:rsid w:val="00530DE5"/>
    <w:rsid w:val="00532145"/>
    <w:rsid w:val="005323BD"/>
    <w:rsid w:val="0053606D"/>
    <w:rsid w:val="00536CAC"/>
    <w:rsid w:val="00541F4B"/>
    <w:rsid w:val="00544471"/>
    <w:rsid w:val="00545A33"/>
    <w:rsid w:val="005470D8"/>
    <w:rsid w:val="005608E6"/>
    <w:rsid w:val="00560EDD"/>
    <w:rsid w:val="00573C60"/>
    <w:rsid w:val="005810BC"/>
    <w:rsid w:val="005840EF"/>
    <w:rsid w:val="0058730B"/>
    <w:rsid w:val="005966BB"/>
    <w:rsid w:val="005B174E"/>
    <w:rsid w:val="005B315D"/>
    <w:rsid w:val="005C15C1"/>
    <w:rsid w:val="005C433C"/>
    <w:rsid w:val="005C4563"/>
    <w:rsid w:val="005C7F53"/>
    <w:rsid w:val="005D59B0"/>
    <w:rsid w:val="005E1C5C"/>
    <w:rsid w:val="005E1E55"/>
    <w:rsid w:val="005E3DC0"/>
    <w:rsid w:val="005E4B6B"/>
    <w:rsid w:val="005F263A"/>
    <w:rsid w:val="005F2E97"/>
    <w:rsid w:val="005F633D"/>
    <w:rsid w:val="00601336"/>
    <w:rsid w:val="00603664"/>
    <w:rsid w:val="00606C71"/>
    <w:rsid w:val="00607DB4"/>
    <w:rsid w:val="00620C90"/>
    <w:rsid w:val="0063085D"/>
    <w:rsid w:val="00635524"/>
    <w:rsid w:val="0063641D"/>
    <w:rsid w:val="006443B5"/>
    <w:rsid w:val="00655A23"/>
    <w:rsid w:val="00655C3A"/>
    <w:rsid w:val="0066049E"/>
    <w:rsid w:val="00670B2C"/>
    <w:rsid w:val="00683A75"/>
    <w:rsid w:val="00692EED"/>
    <w:rsid w:val="006A1E7A"/>
    <w:rsid w:val="006A3353"/>
    <w:rsid w:val="006A363B"/>
    <w:rsid w:val="006A703D"/>
    <w:rsid w:val="006B23A7"/>
    <w:rsid w:val="006C4724"/>
    <w:rsid w:val="006C618E"/>
    <w:rsid w:val="006C747C"/>
    <w:rsid w:val="006C7B2F"/>
    <w:rsid w:val="006D1962"/>
    <w:rsid w:val="006D26F7"/>
    <w:rsid w:val="006D2B8D"/>
    <w:rsid w:val="006E111D"/>
    <w:rsid w:val="006F4806"/>
    <w:rsid w:val="00700949"/>
    <w:rsid w:val="00706C01"/>
    <w:rsid w:val="0071665E"/>
    <w:rsid w:val="00717F97"/>
    <w:rsid w:val="00720703"/>
    <w:rsid w:val="00724656"/>
    <w:rsid w:val="007253B1"/>
    <w:rsid w:val="00726ACC"/>
    <w:rsid w:val="00743A1E"/>
    <w:rsid w:val="00746397"/>
    <w:rsid w:val="007521AA"/>
    <w:rsid w:val="007543C5"/>
    <w:rsid w:val="0075603A"/>
    <w:rsid w:val="007619D8"/>
    <w:rsid w:val="00766DA0"/>
    <w:rsid w:val="00771D97"/>
    <w:rsid w:val="00772F14"/>
    <w:rsid w:val="0077710A"/>
    <w:rsid w:val="00782530"/>
    <w:rsid w:val="007874C0"/>
    <w:rsid w:val="00787885"/>
    <w:rsid w:val="00787D56"/>
    <w:rsid w:val="007A07C8"/>
    <w:rsid w:val="007A0A2E"/>
    <w:rsid w:val="007A35B7"/>
    <w:rsid w:val="007B125E"/>
    <w:rsid w:val="007B619B"/>
    <w:rsid w:val="007C38FC"/>
    <w:rsid w:val="007C7D3F"/>
    <w:rsid w:val="007D283B"/>
    <w:rsid w:val="007D3B50"/>
    <w:rsid w:val="007D5B1B"/>
    <w:rsid w:val="007D6ED8"/>
    <w:rsid w:val="007E102B"/>
    <w:rsid w:val="007E65E7"/>
    <w:rsid w:val="007F3F27"/>
    <w:rsid w:val="00800BD4"/>
    <w:rsid w:val="00804B6D"/>
    <w:rsid w:val="0081534F"/>
    <w:rsid w:val="008247E7"/>
    <w:rsid w:val="0082653B"/>
    <w:rsid w:val="00831823"/>
    <w:rsid w:val="00832AFF"/>
    <w:rsid w:val="00847891"/>
    <w:rsid w:val="00852281"/>
    <w:rsid w:val="008563E3"/>
    <w:rsid w:val="00873059"/>
    <w:rsid w:val="008830E2"/>
    <w:rsid w:val="008853F6"/>
    <w:rsid w:val="00887FCD"/>
    <w:rsid w:val="008A41CC"/>
    <w:rsid w:val="008A4232"/>
    <w:rsid w:val="008A4832"/>
    <w:rsid w:val="008B2B96"/>
    <w:rsid w:val="008B503B"/>
    <w:rsid w:val="008E2581"/>
    <w:rsid w:val="008E2CB3"/>
    <w:rsid w:val="008E3820"/>
    <w:rsid w:val="008E7799"/>
    <w:rsid w:val="008F351C"/>
    <w:rsid w:val="008F569D"/>
    <w:rsid w:val="008F74EA"/>
    <w:rsid w:val="00907092"/>
    <w:rsid w:val="0091234F"/>
    <w:rsid w:val="0091649B"/>
    <w:rsid w:val="00922C9C"/>
    <w:rsid w:val="0093319A"/>
    <w:rsid w:val="009349BF"/>
    <w:rsid w:val="00936B2E"/>
    <w:rsid w:val="00940E32"/>
    <w:rsid w:val="00941672"/>
    <w:rsid w:val="0094411A"/>
    <w:rsid w:val="0095316B"/>
    <w:rsid w:val="009544A3"/>
    <w:rsid w:val="00954DF2"/>
    <w:rsid w:val="00963874"/>
    <w:rsid w:val="009664BA"/>
    <w:rsid w:val="00972C28"/>
    <w:rsid w:val="00972DFF"/>
    <w:rsid w:val="00972FC8"/>
    <w:rsid w:val="00977761"/>
    <w:rsid w:val="0098367D"/>
    <w:rsid w:val="00992574"/>
    <w:rsid w:val="009A13C2"/>
    <w:rsid w:val="009A4C51"/>
    <w:rsid w:val="009B2780"/>
    <w:rsid w:val="009B6EF2"/>
    <w:rsid w:val="009C5831"/>
    <w:rsid w:val="009E2702"/>
    <w:rsid w:val="009E3244"/>
    <w:rsid w:val="009F097C"/>
    <w:rsid w:val="009F1503"/>
    <w:rsid w:val="00A009C6"/>
    <w:rsid w:val="00A03C48"/>
    <w:rsid w:val="00A111F1"/>
    <w:rsid w:val="00A1376A"/>
    <w:rsid w:val="00A14B6F"/>
    <w:rsid w:val="00A151B0"/>
    <w:rsid w:val="00A50376"/>
    <w:rsid w:val="00A57F95"/>
    <w:rsid w:val="00A60CEC"/>
    <w:rsid w:val="00A645BC"/>
    <w:rsid w:val="00A6599B"/>
    <w:rsid w:val="00A660E1"/>
    <w:rsid w:val="00A84E39"/>
    <w:rsid w:val="00A92A9B"/>
    <w:rsid w:val="00AA15BE"/>
    <w:rsid w:val="00AA38FE"/>
    <w:rsid w:val="00AA42EC"/>
    <w:rsid w:val="00AA5F39"/>
    <w:rsid w:val="00AB08DE"/>
    <w:rsid w:val="00AB1E93"/>
    <w:rsid w:val="00AB528B"/>
    <w:rsid w:val="00AC032A"/>
    <w:rsid w:val="00AC34FB"/>
    <w:rsid w:val="00AC3C97"/>
    <w:rsid w:val="00AC40E1"/>
    <w:rsid w:val="00AD7E4E"/>
    <w:rsid w:val="00AE3BDB"/>
    <w:rsid w:val="00AE7307"/>
    <w:rsid w:val="00AF1035"/>
    <w:rsid w:val="00AF1248"/>
    <w:rsid w:val="00AF24DE"/>
    <w:rsid w:val="00B00348"/>
    <w:rsid w:val="00B01264"/>
    <w:rsid w:val="00B021EC"/>
    <w:rsid w:val="00B02ACB"/>
    <w:rsid w:val="00B02B8E"/>
    <w:rsid w:val="00B03F12"/>
    <w:rsid w:val="00B0440F"/>
    <w:rsid w:val="00B11264"/>
    <w:rsid w:val="00B1199F"/>
    <w:rsid w:val="00B136CE"/>
    <w:rsid w:val="00B26246"/>
    <w:rsid w:val="00B26C73"/>
    <w:rsid w:val="00B27CF4"/>
    <w:rsid w:val="00B52987"/>
    <w:rsid w:val="00B545B8"/>
    <w:rsid w:val="00B61E49"/>
    <w:rsid w:val="00B65F0F"/>
    <w:rsid w:val="00B67F5A"/>
    <w:rsid w:val="00B84BD6"/>
    <w:rsid w:val="00B84CC0"/>
    <w:rsid w:val="00B91941"/>
    <w:rsid w:val="00B93B50"/>
    <w:rsid w:val="00B96AFB"/>
    <w:rsid w:val="00B971F9"/>
    <w:rsid w:val="00BA055B"/>
    <w:rsid w:val="00BA0F2D"/>
    <w:rsid w:val="00BA3DB3"/>
    <w:rsid w:val="00BA62F5"/>
    <w:rsid w:val="00BB4DAF"/>
    <w:rsid w:val="00BC752C"/>
    <w:rsid w:val="00BC78F2"/>
    <w:rsid w:val="00BD08A4"/>
    <w:rsid w:val="00BD7F3C"/>
    <w:rsid w:val="00BF2962"/>
    <w:rsid w:val="00C01465"/>
    <w:rsid w:val="00C0271A"/>
    <w:rsid w:val="00C069C2"/>
    <w:rsid w:val="00C073F2"/>
    <w:rsid w:val="00C11C45"/>
    <w:rsid w:val="00C1238D"/>
    <w:rsid w:val="00C1321C"/>
    <w:rsid w:val="00C175B5"/>
    <w:rsid w:val="00C21058"/>
    <w:rsid w:val="00C24783"/>
    <w:rsid w:val="00C31B20"/>
    <w:rsid w:val="00C40BEC"/>
    <w:rsid w:val="00C469FB"/>
    <w:rsid w:val="00C506B7"/>
    <w:rsid w:val="00C50A20"/>
    <w:rsid w:val="00C50BCD"/>
    <w:rsid w:val="00C53B4F"/>
    <w:rsid w:val="00C658B5"/>
    <w:rsid w:val="00C66BEE"/>
    <w:rsid w:val="00C93360"/>
    <w:rsid w:val="00C93B05"/>
    <w:rsid w:val="00CA1250"/>
    <w:rsid w:val="00CA1F98"/>
    <w:rsid w:val="00CA7796"/>
    <w:rsid w:val="00CB0F7B"/>
    <w:rsid w:val="00CB17B0"/>
    <w:rsid w:val="00CB6283"/>
    <w:rsid w:val="00CC3641"/>
    <w:rsid w:val="00CE1E65"/>
    <w:rsid w:val="00CE578C"/>
    <w:rsid w:val="00CF02A5"/>
    <w:rsid w:val="00CF11D7"/>
    <w:rsid w:val="00CF2329"/>
    <w:rsid w:val="00CF48ED"/>
    <w:rsid w:val="00CF5420"/>
    <w:rsid w:val="00CF5C2B"/>
    <w:rsid w:val="00D01A0B"/>
    <w:rsid w:val="00D01B59"/>
    <w:rsid w:val="00D03903"/>
    <w:rsid w:val="00D153D5"/>
    <w:rsid w:val="00D20C19"/>
    <w:rsid w:val="00D2525F"/>
    <w:rsid w:val="00D304AD"/>
    <w:rsid w:val="00D3265A"/>
    <w:rsid w:val="00D357D6"/>
    <w:rsid w:val="00D47BF1"/>
    <w:rsid w:val="00D50D59"/>
    <w:rsid w:val="00D57AED"/>
    <w:rsid w:val="00D65B4D"/>
    <w:rsid w:val="00D66240"/>
    <w:rsid w:val="00D73ED6"/>
    <w:rsid w:val="00D81D0A"/>
    <w:rsid w:val="00D83155"/>
    <w:rsid w:val="00D93EFC"/>
    <w:rsid w:val="00D9528B"/>
    <w:rsid w:val="00D95B9F"/>
    <w:rsid w:val="00DA3487"/>
    <w:rsid w:val="00DB3240"/>
    <w:rsid w:val="00DB33A9"/>
    <w:rsid w:val="00DD3665"/>
    <w:rsid w:val="00DD5CB9"/>
    <w:rsid w:val="00DE3389"/>
    <w:rsid w:val="00DE42FE"/>
    <w:rsid w:val="00DE7AF9"/>
    <w:rsid w:val="00DF3FF4"/>
    <w:rsid w:val="00E114E7"/>
    <w:rsid w:val="00E24942"/>
    <w:rsid w:val="00E414D0"/>
    <w:rsid w:val="00E44A5F"/>
    <w:rsid w:val="00E51686"/>
    <w:rsid w:val="00E5749A"/>
    <w:rsid w:val="00E643B0"/>
    <w:rsid w:val="00E72915"/>
    <w:rsid w:val="00E7493B"/>
    <w:rsid w:val="00E774F7"/>
    <w:rsid w:val="00E77544"/>
    <w:rsid w:val="00E84FA1"/>
    <w:rsid w:val="00E86343"/>
    <w:rsid w:val="00E91DA7"/>
    <w:rsid w:val="00E91EB1"/>
    <w:rsid w:val="00E9202C"/>
    <w:rsid w:val="00E92737"/>
    <w:rsid w:val="00E92C43"/>
    <w:rsid w:val="00E96DFB"/>
    <w:rsid w:val="00E976A5"/>
    <w:rsid w:val="00EA43BE"/>
    <w:rsid w:val="00EB1065"/>
    <w:rsid w:val="00EB5172"/>
    <w:rsid w:val="00EC115A"/>
    <w:rsid w:val="00EC64AF"/>
    <w:rsid w:val="00ED2184"/>
    <w:rsid w:val="00EE40D3"/>
    <w:rsid w:val="00EF1E8F"/>
    <w:rsid w:val="00EF3CFC"/>
    <w:rsid w:val="00F03867"/>
    <w:rsid w:val="00F11EAC"/>
    <w:rsid w:val="00F12436"/>
    <w:rsid w:val="00F13873"/>
    <w:rsid w:val="00F13E71"/>
    <w:rsid w:val="00F156CC"/>
    <w:rsid w:val="00F2379D"/>
    <w:rsid w:val="00F30026"/>
    <w:rsid w:val="00F3078D"/>
    <w:rsid w:val="00F405F9"/>
    <w:rsid w:val="00F40E3A"/>
    <w:rsid w:val="00F4444B"/>
    <w:rsid w:val="00F51F60"/>
    <w:rsid w:val="00F53657"/>
    <w:rsid w:val="00F5478A"/>
    <w:rsid w:val="00F60FF8"/>
    <w:rsid w:val="00F62C4B"/>
    <w:rsid w:val="00F64D76"/>
    <w:rsid w:val="00F64ED4"/>
    <w:rsid w:val="00F66079"/>
    <w:rsid w:val="00F67171"/>
    <w:rsid w:val="00F72647"/>
    <w:rsid w:val="00F77ECB"/>
    <w:rsid w:val="00F93225"/>
    <w:rsid w:val="00F934B4"/>
    <w:rsid w:val="00F9615A"/>
    <w:rsid w:val="00FA3AB4"/>
    <w:rsid w:val="00FA4FBD"/>
    <w:rsid w:val="00FD2706"/>
    <w:rsid w:val="00FE2A39"/>
    <w:rsid w:val="00FE2DBD"/>
    <w:rsid w:val="00FE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3DDB5"/>
  <w15:docId w15:val="{24F85E96-E98E-4321-81CC-8E6C85DF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paragraph" w:styleId="Balk7">
    <w:name w:val="heading 7"/>
    <w:basedOn w:val="Normal"/>
    <w:next w:val="Normal"/>
    <w:link w:val="Balk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pPr>
      <w:spacing w:after="200" w:line="240" w:lineRule="auto"/>
    </w:pPr>
    <w:rPr>
      <w:i/>
      <w:iCs/>
      <w:color w:val="1F497D" w:themeColor="text2"/>
      <w:sz w:val="18"/>
      <w:szCs w:val="18"/>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ralkYok">
    <w:name w:val="No Spacing"/>
    <w:uiPriority w:val="1"/>
    <w:qFormat/>
    <w:pPr>
      <w:spacing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Balk7Char">
    <w:name w:val="Başlık 7 Char"/>
    <w:link w:val="Balk7"/>
    <w:uiPriority w:val="9"/>
    <w:rPr>
      <w:rFonts w:asciiTheme="majorHAnsi" w:eastAsiaTheme="majorEastAsia" w:hAnsiTheme="majorHAnsi" w:cstheme="majorBidi"/>
      <w:i/>
      <w:iCs/>
      <w:color w:val="404040" w:themeColor="text1" w:themeTint="BF"/>
    </w:rPr>
  </w:style>
  <w:style w:type="character" w:customStyle="1" w:styleId="Balk8Char">
    <w:name w:val="Başlık 8 Char"/>
    <w:link w:val="Balk8"/>
    <w:uiPriority w:val="9"/>
    <w:rPr>
      <w:rFonts w:asciiTheme="majorHAnsi" w:eastAsiaTheme="majorEastAsia" w:hAnsiTheme="majorHAnsi" w:cstheme="majorBidi"/>
      <w:color w:val="404040" w:themeColor="text1" w:themeTint="BF"/>
      <w:sz w:val="20"/>
      <w:szCs w:val="20"/>
    </w:rPr>
  </w:style>
  <w:style w:type="character" w:customStyle="1" w:styleId="Balk9Char">
    <w:name w:val="Başlık 9 Char"/>
    <w:link w:val="Balk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HafifVurgulama">
    <w:name w:val="Subtle Emphasis"/>
    <w:uiPriority w:val="19"/>
    <w:qFormat/>
    <w:rPr>
      <w:i/>
      <w:iCs/>
      <w:color w:val="808080" w:themeColor="text1" w:themeTint="7F"/>
    </w:rPr>
  </w:style>
  <w:style w:type="character" w:styleId="Vurgu">
    <w:name w:val="Emphasis"/>
    <w:uiPriority w:val="20"/>
    <w:qFormat/>
    <w:rPr>
      <w:i/>
      <w:iCs/>
    </w:rPr>
  </w:style>
  <w:style w:type="character" w:styleId="GlVurgulama">
    <w:name w:val="Intense Emphasis"/>
    <w:uiPriority w:val="21"/>
    <w:qFormat/>
    <w:rPr>
      <w:b/>
      <w:bCs/>
      <w:i/>
      <w:iCs/>
      <w:color w:val="4F81BD" w:themeColor="accent1"/>
    </w:rPr>
  </w:style>
  <w:style w:type="character" w:styleId="Gl">
    <w:name w:val="Strong"/>
    <w:uiPriority w:val="22"/>
    <w:qFormat/>
    <w:rPr>
      <w:b/>
      <w:bCs/>
    </w:rPr>
  </w:style>
  <w:style w:type="paragraph" w:styleId="Alnt">
    <w:name w:val="Quote"/>
    <w:basedOn w:val="Normal"/>
    <w:next w:val="Normal"/>
    <w:link w:val="AlntChar"/>
    <w:uiPriority w:val="29"/>
    <w:qFormat/>
    <w:rPr>
      <w:i/>
      <w:iCs/>
      <w:color w:val="000000" w:themeColor="text1"/>
    </w:rPr>
  </w:style>
  <w:style w:type="character" w:customStyle="1" w:styleId="AlntChar">
    <w:name w:val="Alıntı Char"/>
    <w:link w:val="Alnt"/>
    <w:uiPriority w:val="29"/>
    <w:rPr>
      <w:i/>
      <w:iCs/>
      <w:color w:val="000000" w:themeColor="text1"/>
    </w:rPr>
  </w:style>
  <w:style w:type="paragraph" w:styleId="GlAlnt">
    <w:name w:val="Intense Quote"/>
    <w:basedOn w:val="Normal"/>
    <w:next w:val="Normal"/>
    <w:link w:val="GlAln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link w:val="GlAlnt"/>
    <w:uiPriority w:val="30"/>
    <w:rPr>
      <w:b/>
      <w:bCs/>
      <w:i/>
      <w:iCs/>
      <w:color w:val="4F81BD" w:themeColor="accent1"/>
    </w:rPr>
  </w:style>
  <w:style w:type="character" w:styleId="HafifBavuru">
    <w:name w:val="Subtle Reference"/>
    <w:uiPriority w:val="31"/>
    <w:qFormat/>
    <w:rPr>
      <w:smallCaps/>
      <w:color w:val="C0504D" w:themeColor="accent2"/>
      <w:u w:val="single"/>
    </w:rPr>
  </w:style>
  <w:style w:type="character" w:styleId="GlBavuru">
    <w:name w:val="Intense Reference"/>
    <w:uiPriority w:val="32"/>
    <w:qFormat/>
    <w:rPr>
      <w:b/>
      <w:bCs/>
      <w:smallCaps/>
      <w:color w:val="C0504D" w:themeColor="accent2"/>
      <w:spacing w:val="5"/>
      <w:u w:val="single"/>
    </w:rPr>
  </w:style>
  <w:style w:type="character" w:styleId="KitapBal">
    <w:name w:val="Book Title"/>
    <w:uiPriority w:val="33"/>
    <w:qFormat/>
    <w:rPr>
      <w:b/>
      <w:bCs/>
      <w:smallCaps/>
      <w:spacing w:val="5"/>
    </w:rPr>
  </w:style>
  <w:style w:type="paragraph" w:styleId="ListeParagraf">
    <w:name w:val="List Paragraph"/>
    <w:basedOn w:val="Normal"/>
    <w:uiPriority w:val="34"/>
    <w:qFormat/>
    <w:pPr>
      <w:ind w:left="720"/>
      <w:contextualSpacing/>
    </w:pPr>
  </w:style>
  <w:style w:type="paragraph" w:styleId="DipnotMetni">
    <w:name w:val="footnote text"/>
    <w:basedOn w:val="Normal"/>
    <w:link w:val="DipnotMetniChar"/>
    <w:uiPriority w:val="99"/>
    <w:semiHidden/>
    <w:unhideWhenUsed/>
    <w:pPr>
      <w:spacing w:line="240" w:lineRule="auto"/>
    </w:pPr>
    <w:rPr>
      <w:sz w:val="20"/>
      <w:szCs w:val="20"/>
    </w:rPr>
  </w:style>
  <w:style w:type="character" w:customStyle="1" w:styleId="DipnotMetniChar">
    <w:name w:val="Dipnot Metni Char"/>
    <w:link w:val="DipnotMetni"/>
    <w:uiPriority w:val="99"/>
    <w:semiHidden/>
    <w:rPr>
      <w:sz w:val="20"/>
      <w:szCs w:val="20"/>
    </w:rPr>
  </w:style>
  <w:style w:type="character" w:styleId="DipnotBavurusu">
    <w:name w:val="footnote reference"/>
    <w:uiPriority w:val="99"/>
    <w:semiHidden/>
    <w:unhideWhenUsed/>
    <w:rPr>
      <w:vertAlign w:val="superscript"/>
    </w:rPr>
  </w:style>
  <w:style w:type="paragraph" w:styleId="SonNotMetni">
    <w:name w:val="endnote text"/>
    <w:basedOn w:val="Normal"/>
    <w:link w:val="SonNotMetniChar"/>
    <w:uiPriority w:val="99"/>
    <w:semiHidden/>
    <w:unhideWhenUsed/>
    <w:pPr>
      <w:spacing w:line="240" w:lineRule="auto"/>
    </w:pPr>
    <w:rPr>
      <w:sz w:val="20"/>
      <w:szCs w:val="20"/>
    </w:rPr>
  </w:style>
  <w:style w:type="character" w:customStyle="1" w:styleId="SonNotMetniChar">
    <w:name w:val="Son Not Metni Char"/>
    <w:link w:val="SonNotMetni"/>
    <w:uiPriority w:val="99"/>
    <w:semiHidden/>
    <w:rPr>
      <w:sz w:val="20"/>
      <w:szCs w:val="20"/>
    </w:rPr>
  </w:style>
  <w:style w:type="character" w:styleId="SonNotBavurusu">
    <w:name w:val="endnote reference"/>
    <w:uiPriority w:val="99"/>
    <w:semiHidden/>
    <w:unhideWhenUsed/>
    <w:rPr>
      <w:vertAlign w:val="superscript"/>
    </w:rPr>
  </w:style>
  <w:style w:type="paragraph" w:styleId="DzMetin">
    <w:name w:val="Plain Text"/>
    <w:basedOn w:val="Normal"/>
    <w:link w:val="DzMetinChar"/>
    <w:uiPriority w:val="99"/>
    <w:semiHidden/>
    <w:unhideWhenUsed/>
    <w:pPr>
      <w:spacing w:line="240" w:lineRule="auto"/>
    </w:pPr>
    <w:rPr>
      <w:rFonts w:ascii="Courier New" w:hAnsi="Courier New" w:cs="Courier New"/>
      <w:sz w:val="21"/>
      <w:szCs w:val="21"/>
    </w:rPr>
  </w:style>
  <w:style w:type="character" w:customStyle="1" w:styleId="DzMetinChar">
    <w:name w:val="Düz Metin Char"/>
    <w:link w:val="DzMetin"/>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table" w:customStyle="1" w:styleId="TableNormal1">
    <w:name w:val="Table Normal1"/>
    <w:uiPriority w:val="99"/>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character" w:styleId="Kpr">
    <w:name w:val="Hyperlink"/>
    <w:basedOn w:val="VarsaylanParagrafYazTipi"/>
    <w:uiPriority w:val="99"/>
    <w:unhideWhenUsed/>
    <w:rPr>
      <w:color w:val="0000FF" w:themeColor="hyperlink"/>
      <w:u w:val="single"/>
    </w:rPr>
  </w:style>
  <w:style w:type="character" w:styleId="zmlenmeyenBahsetme">
    <w:name w:val="Unresolved Mention"/>
    <w:basedOn w:val="VarsaylanParagrafYazTipi"/>
    <w:uiPriority w:val="99"/>
    <w:semiHidden/>
    <w:unhideWhenUsed/>
    <w:rPr>
      <w:color w:val="605E5C"/>
      <w:shd w:val="clear" w:color="auto" w:fill="E1DFDD"/>
    </w:rPr>
  </w:style>
  <w:style w:type="character" w:styleId="zlenenKpr">
    <w:name w:val="FollowedHyperlink"/>
    <w:basedOn w:val="VarsaylanParagrafYazTipi"/>
    <w:uiPriority w:val="99"/>
    <w:semiHidden/>
    <w:unhideWhenUsed/>
    <w:rPr>
      <w:color w:val="800080" w:themeColor="followedHyperlink"/>
      <w:u w:val="single"/>
    </w:rPr>
  </w:style>
  <w:style w:type="paragraph" w:styleId="stBilgi">
    <w:name w:val="header"/>
    <w:basedOn w:val="Normal"/>
    <w:link w:val="stBilgiChar"/>
    <w:uiPriority w:val="99"/>
    <w:unhideWhenUsed/>
    <w:pPr>
      <w:tabs>
        <w:tab w:val="center" w:pos="4536"/>
        <w:tab w:val="right" w:pos="9072"/>
      </w:tabs>
      <w:spacing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unhideWhenUsed/>
    <w:pPr>
      <w:tabs>
        <w:tab w:val="center" w:pos="4536"/>
        <w:tab w:val="right" w:pos="9072"/>
      </w:tabs>
      <w:spacing w:line="240" w:lineRule="auto"/>
    </w:pPr>
  </w:style>
  <w:style w:type="character" w:customStyle="1" w:styleId="AltBilgiChar">
    <w:name w:val="Alt Bilgi Char"/>
    <w:basedOn w:val="VarsaylanParagrafYazTipi"/>
    <w:link w:val="AltBilgi"/>
    <w:uiPriority w:val="99"/>
  </w:style>
  <w:style w:type="paragraph" w:styleId="Dzeltme">
    <w:name w:val="Revision"/>
    <w:hidden/>
    <w:uiPriority w:val="99"/>
    <w:semiHidden/>
    <w:pPr>
      <w:spacing w:line="240" w:lineRule="auto"/>
    </w:pPr>
  </w:style>
  <w:style w:type="paragraph" w:styleId="BalonMetni">
    <w:name w:val="Balloon Text"/>
    <w:basedOn w:val="Normal"/>
    <w:link w:val="BalonMetniChar"/>
    <w:uiPriority w:val="99"/>
    <w:semiHidden/>
    <w:unhideWhenUsed/>
    <w:pPr>
      <w:spacing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247501">
      <w:bodyDiv w:val="1"/>
      <w:marLeft w:val="0"/>
      <w:marRight w:val="0"/>
      <w:marTop w:val="0"/>
      <w:marBottom w:val="0"/>
      <w:divBdr>
        <w:top w:val="none" w:sz="0" w:space="0" w:color="auto"/>
        <w:left w:val="none" w:sz="0" w:space="0" w:color="auto"/>
        <w:bottom w:val="none" w:sz="0" w:space="0" w:color="auto"/>
        <w:right w:val="none" w:sz="0" w:space="0" w:color="auto"/>
      </w:divBdr>
    </w:div>
    <w:div w:id="1635795327">
      <w:bodyDiv w:val="1"/>
      <w:marLeft w:val="0"/>
      <w:marRight w:val="0"/>
      <w:marTop w:val="0"/>
      <w:marBottom w:val="0"/>
      <w:divBdr>
        <w:top w:val="none" w:sz="0" w:space="0" w:color="auto"/>
        <w:left w:val="none" w:sz="0" w:space="0" w:color="auto"/>
        <w:bottom w:val="none" w:sz="0" w:space="0" w:color="auto"/>
        <w:right w:val="none" w:sz="0" w:space="0" w:color="auto"/>
      </w:divBdr>
      <w:divsChild>
        <w:div w:id="1905094533">
          <w:marLeft w:val="0"/>
          <w:marRight w:val="0"/>
          <w:marTop w:val="0"/>
          <w:marBottom w:val="0"/>
          <w:divBdr>
            <w:top w:val="none" w:sz="0" w:space="0" w:color="auto"/>
            <w:left w:val="none" w:sz="0" w:space="0" w:color="auto"/>
            <w:bottom w:val="none" w:sz="0" w:space="0" w:color="auto"/>
            <w:right w:val="none" w:sz="0" w:space="0" w:color="auto"/>
          </w:divBdr>
          <w:divsChild>
            <w:div w:id="5907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6992">
      <w:bodyDiv w:val="1"/>
      <w:marLeft w:val="0"/>
      <w:marRight w:val="0"/>
      <w:marTop w:val="0"/>
      <w:marBottom w:val="0"/>
      <w:divBdr>
        <w:top w:val="none" w:sz="0" w:space="0" w:color="auto"/>
        <w:left w:val="none" w:sz="0" w:space="0" w:color="auto"/>
        <w:bottom w:val="none" w:sz="0" w:space="0" w:color="auto"/>
        <w:right w:val="none" w:sz="0" w:space="0" w:color="auto"/>
      </w:divBdr>
      <w:divsChild>
        <w:div w:id="342322466">
          <w:marLeft w:val="0"/>
          <w:marRight w:val="0"/>
          <w:marTop w:val="0"/>
          <w:marBottom w:val="0"/>
          <w:divBdr>
            <w:top w:val="none" w:sz="0" w:space="0" w:color="auto"/>
            <w:left w:val="none" w:sz="0" w:space="0" w:color="auto"/>
            <w:bottom w:val="none" w:sz="0" w:space="0" w:color="auto"/>
            <w:right w:val="none" w:sz="0" w:space="0" w:color="auto"/>
          </w:divBdr>
          <w:divsChild>
            <w:div w:id="94885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zgi.atabilen@peryon.org.t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afef78-a12d-4186-bf3d-60a0ac7b364a">
      <Terms xmlns="http://schemas.microsoft.com/office/infopath/2007/PartnerControls"/>
    </lcf76f155ced4ddcb4097134ff3c332f>
    <TaxCatchAll xmlns="8d467af5-5d17-4f67-82ee-e3f92415b1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4B02A57CAEF6E64FA25728EEE9730A53" ma:contentTypeVersion="18" ma:contentTypeDescription="Yeni belge oluşturun." ma:contentTypeScope="" ma:versionID="1564fa4cf9e74324681efaa018764a7b">
  <xsd:schema xmlns:xsd="http://www.w3.org/2001/XMLSchema" xmlns:xs="http://www.w3.org/2001/XMLSchema" xmlns:p="http://schemas.microsoft.com/office/2006/metadata/properties" xmlns:ns2="8d467af5-5d17-4f67-82ee-e3f92415b1ff" xmlns:ns3="a2afef78-a12d-4186-bf3d-60a0ac7b364a" targetNamespace="http://schemas.microsoft.com/office/2006/metadata/properties" ma:root="true" ma:fieldsID="33d8a8d1dd09dfd369b5e2a142fe5589" ns2:_="" ns3:_="">
    <xsd:import namespace="8d467af5-5d17-4f67-82ee-e3f92415b1ff"/>
    <xsd:import namespace="a2afef78-a12d-4186-bf3d-60a0ac7b36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67af5-5d17-4f67-82ee-e3f92415b1ff"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description="" ma:internalName="SharedWithDetails" ma:readOnly="true">
      <xsd:simpleType>
        <xsd:restriction base="dms:Note">
          <xsd:maxLength value="255"/>
        </xsd:restriction>
      </xsd:simpleType>
    </xsd:element>
    <xsd:element name="TaxCatchAll" ma:index="23" nillable="true" ma:displayName="Taxonomy Catch All Column" ma:hidden="true" ma:list="{cbfd76b3-fcc5-46dc-b812-25b0a51bc66d}" ma:internalName="TaxCatchAll" ma:showField="CatchAllData" ma:web="8d467af5-5d17-4f67-82ee-e3f92415b1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fef78-a12d-4186-bf3d-60a0ac7b36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c7afc3c3-1c6a-41d7-b5f0-6e842a8d1f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7D42F-0E12-4D40-9523-BC8B48469248}">
  <ds:schemaRefs>
    <ds:schemaRef ds:uri="http://schemas.microsoft.com/sharepoint/v3/contenttype/forms"/>
  </ds:schemaRefs>
</ds:datastoreItem>
</file>

<file path=customXml/itemProps2.xml><?xml version="1.0" encoding="utf-8"?>
<ds:datastoreItem xmlns:ds="http://schemas.openxmlformats.org/officeDocument/2006/customXml" ds:itemID="{4CC59494-FC63-4D2B-A92A-57F9F4EA175C}">
  <ds:schemaRefs>
    <ds:schemaRef ds:uri="http://schemas.microsoft.com/office/2006/metadata/properties"/>
    <ds:schemaRef ds:uri="http://schemas.microsoft.com/office/infopath/2007/PartnerControls"/>
    <ds:schemaRef ds:uri="a2afef78-a12d-4186-bf3d-60a0ac7b364a"/>
    <ds:schemaRef ds:uri="8d467af5-5d17-4f67-82ee-e3f92415b1ff"/>
  </ds:schemaRefs>
</ds:datastoreItem>
</file>

<file path=customXml/itemProps3.xml><?xml version="1.0" encoding="utf-8"?>
<ds:datastoreItem xmlns:ds="http://schemas.openxmlformats.org/officeDocument/2006/customXml" ds:itemID="{67A643FE-13F9-43E6-9DB1-0234B0B90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67af5-5d17-4f67-82ee-e3f92415b1ff"/>
    <ds:schemaRef ds:uri="a2afef78-a12d-4186-bf3d-60a0ac7b3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4682</Characters>
  <Application>Microsoft Office Word</Application>
  <DocSecurity>0</DocSecurity>
  <Lines>81</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volk*******@***il.com</dc:creator>
  <cp:lastModifiedBy>Zeynep Ekici</cp:lastModifiedBy>
  <cp:revision>2</cp:revision>
  <dcterms:created xsi:type="dcterms:W3CDTF">2025-12-01T11:43:00Z</dcterms:created>
  <dcterms:modified xsi:type="dcterms:W3CDTF">2025-12-01T11:51:00Z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0x0101004B02A57CAEF6E64FA25728EEE9730A53</vt:lpwstr>
  </property>
  <property fmtid="{D5CDD505-2E9C-101B-9397-08002B2CF9AE}" pid="6" name="MSIP_Label_0359f705-2ba0-454b-9cfc-6ce5bcaac040_Enabled">
    <vt:lpwstr>true</vt:lpwstr>
  </property>
  <property fmtid="{D5CDD505-2E9C-101B-9397-08002B2CF9AE}" pid="7" name="MSIP_Label_0359f705-2ba0-454b-9cfc-6ce5bcaac040_SetDate">
    <vt:lpwstr>2024-08-23T15:39:56Z</vt:lpwstr>
  </property>
  <property fmtid="{D5CDD505-2E9C-101B-9397-08002B2CF9AE}" pid="8" name="MSIP_Label_0359f705-2ba0-454b-9cfc-6ce5bcaac040_Method">
    <vt:lpwstr>Standard</vt:lpwstr>
  </property>
  <property fmtid="{D5CDD505-2E9C-101B-9397-08002B2CF9AE}" pid="9" name="MSIP_Label_0359f705-2ba0-454b-9cfc-6ce5bcaac040_Name">
    <vt:lpwstr>0359f705-2ba0-454b-9cfc-6ce5bcaac040</vt:lpwstr>
  </property>
  <property fmtid="{D5CDD505-2E9C-101B-9397-08002B2CF9AE}" pid="10" name="MSIP_Label_0359f705-2ba0-454b-9cfc-6ce5bcaac040_SiteId">
    <vt:lpwstr>68283f3b-8487-4c86-adb3-a5228f18b893</vt:lpwstr>
  </property>
  <property fmtid="{D5CDD505-2E9C-101B-9397-08002B2CF9AE}" pid="11" name="MSIP_Label_0359f705-2ba0-454b-9cfc-6ce5bcaac040_ActionId">
    <vt:lpwstr>e08ba95d-e6f3-40b8-8ece-80b3f899b602</vt:lpwstr>
  </property>
  <property fmtid="{D5CDD505-2E9C-101B-9397-08002B2CF9AE}" pid="12" name="MSIP_Label_0359f705-2ba0-454b-9cfc-6ce5bcaac040_ContentBits">
    <vt:lpwstr>2</vt:lpwstr>
  </property>
</Properties>
</file>